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МИНИСТЕРСТВО СТРОИТЕЛЬСТВА И ЖИЛИЩНО-КОММУНАЛЬНОГО</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ХОЗЯЙСТВА РОССИЙСКОЙ ФЕДЕРАЦИИ</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ПИСЬМО</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от 18 августа 2020 г. N 32497-ДВ/08</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Министерство строительства и жилищно-коммунального хозяйства Российской Федерации в соответствии с пунктом 1 раздела 3 Протокола заседания президиума (штаба)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Хуснуллина от 15 июля 2020 г. N 10 в целях разъяснения вопросов, связанных с актуальными изменениями законодательства о закупках товаров, работ, услуг для государственных и муниципальных нужд в сфере градостроительной деятельности, взамен ранее направленного письма от 14 августа 2020 г. N 32070-ДВ/08 сообщает.</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hyperlink r:id="rId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(далее - Постановление N 921) внесены изменения в области процедуры закупок строительных работ, в том числе:</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 1 сентября 2020 года из </w:t>
      </w:r>
      <w:hyperlink r:id="rId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Перечня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утвержденного распоряжением Правительства Российской Федерации от 21 марта 2016 г. N 471-р, исключаются здания и работы по возведению зданий, сооружения и строительные работы в области гражданского строительства, работы строительные специализированные (кроме работ буровых и разведочных буровых).</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Дополнительные </w:t>
      </w:r>
      <w:hyperlink r:id="rId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требования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утвержденные постановлением Правительства Российской Федерации от 4 февраля 2015 г. N 99 (далее - Постановление N 99), дополнены новыми позициями следующего содержания:</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Выполнение работ по капитальному ремонту объекта капитального строительства (за исключением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Выполнение работ по капитальному ремонту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Выполнение работ по сносу объекта капитального строительства (в том числе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Изменены дополнительные требования к участникам закупки работ по строительству, реконструкции объектов капитального строительства, строительству некапитальных строений (сооружений), благоустройству территорий, а также по ремонту и содержанию автомобильных дорог.</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согласно новой редакции </w:t>
      </w:r>
      <w:hyperlink r:id="rId1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позиций 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r:id="rId1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N 1 к Постановлению N 99:</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введен дифференцированный стоимостной порог (10 млн рублей для федеральных контрактов и 5 млн рублей для региональных и муниципальных), при котором к квалификации претендента предъявляют дополнительные требования;</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предусмотрен учет опыта исполнения участниками закупки контрактов соответствующего вида не за 3 года, а в течение 5 лет до даты окончания подачи заявки на участие в закупке;</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закупках работ по строительству и реконструкции объектов капитального строительства и линейных объектов исключается возможность подтверждения соответствия дополнительным требованиям контрактами на капитальный ремонт, снос объектов капитального строительства.</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Введены дополнительные требования к участникам закупки работ по подготовке проектной документации и выполнению инженерных изысканий.</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частности, для выполнения этих видов работ требуется:</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наличие за последние 5 лет до даты подачи заявки на участие в закупке опыта исполнения одного контракта на выполнение работ по подготовке проектной документации и (или) выполнению инженерных изысканий.</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этом стоимость такого одного контракта должна составлять не менее 20% (начальной максимальной цены контракта (далее - НМЦК), на право заключить который проводится закупка.</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Данное дополнительное требование к участникам закупки работ по подготовке проектной документации, проведению инженерных изысканий применяется, если НМЦК для обеспечения федеральных нужд превышает 10 млн. рублей, а обеспечения региональных и муниципальных нужд превышает 5 млн. рублей.</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С 9 июля 2020 года изменен порядок оценки заявок, в том числе предельные виды значимости критериев оценки, для закупок отдельных видов строительных работ.</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921 внесены соответствующие изменения в </w:t>
      </w:r>
      <w:hyperlink r:id="rId1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Правила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оценки заявок, окончательных предложений участников закупки товаров, работ, услуг для обеспечения государственных и муниципальных нужд, утвержденные постановлением Правительства Российской Федерации от 28 ноября 2013 г. N 1085 (далее - Правила оценки заявок).</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касаются правил оценки заявок при проведении закупок следующих видов строительных работ:</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строительство объектов капитального строительства;</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реконструкцию объектов капитального строительства;</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капитальный ремонт объектов капитального строительства;</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снос объекта капитального строительства;</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работы по сохранению объектов культурного наследия;</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работы в рамках контракта жизненного цикла (предусматривает проектирование, строительство, реконструкцию, капитальный ремонт объекта капитального строительства (</w:t>
      </w:r>
      <w:hyperlink r:id="rId1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 16 статьи 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работы по контрактам на строительство "под ключ" (в рамках </w:t>
      </w:r>
      <w:hyperlink r:id="rId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16.1 статьи 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1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56 статьи 112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N 44-ФЗ).</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отношении работ по строительству, реконструкции, капитальному ремонту, сносу объекта капитального строительства (в том числе линейного объекта), проведению работ по сохранению объектов культурного наследия (памятников истории и культуры) народов Российской Федерации, а также выполнение работ по контракту, предусмотренному </w:t>
      </w:r>
      <w:hyperlink r:id="rId2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частями 16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2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16.1 статьи 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2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56 статьи 112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N 44-ФЗ устанавливаются предельные величины значимости критериев оценки - минимальная значимость стоимостных критериев оценки - 60%, а максимальная значимость нестоимостных критериев оценки заявок - 40%.</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Ранее соответствующие критерии были установлены только для выполнения работ в отношении уникальных, особо опасных и технически сложных объектов капитального строительства.</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в отношении этих видов работ допускается использование в качестве нестоимостного критерия оценки только критерия "квалификация участников закупки".</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Показателями критерия "квалификация участников закупки" для данных видов строительных работ могут быть только:</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общая стоимость исполненных контрактов;</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общее количество исполненных контрактов;</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наибольшая цена одного из исполненных контрактов.</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В целях заключения контрактов, особенности заключения и исполнения которых регулируются </w:t>
      </w:r>
      <w:hyperlink r:id="rId2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частями 56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r:id="rId2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63 статьи 112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N 44-ФЗ, издан </w:t>
      </w:r>
      <w:hyperlink r:id="rId2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Минстроя России от 30 марта 2020 г. N 175/пр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порядок определения НМЦК, методика составления сметы, порядок изменения цены).</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определения НМЦК установлено, что определение НМЦК осуществляется заказчиком в процессе подготовки документации о закупке, а при осуществлении закупки у единственного поставщика - при подготовке проекта контракта, путем составления расчетов в уровне цен периода исполнения контракта, определяемого в соответствии с </w:t>
      </w:r>
      <w:hyperlink r:id="rId2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пунктами 19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r:id="rId2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порядка определения НМЦК, предполагающими, в том числе, использование официальной статистической информации об индексах цен на продукцию (затраты, услуги), публикуемой Росстатом, индексов-дефляторов Минэкономразвития.</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НМЦК на уровне цен периода исполнения контракта предполагает следующие действия:</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расчет затрат в целом по объекту закупки, включающий затраты на выполнение подрядных работ, затраты на поставку оборудования;</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пересчет затрат, определенных в целом по объекту закупки из уровня цен, учтенном при разработке показателей НЦС и (или) из уровня цен на дату утверждения проектной документации объектов-аналогов, в уровень цен на дату определения НМЦК с применением индексов фактической инфляции;</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расчет затрат, выполненный в целом по объекту закупки в уровне цен на дату определения НМЦК, умножается на индекс прогнозной инфляции на весь планируемый период исполнения контракта с использованием информации о сроках выполнения работ.</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w:t>
      </w:r>
      <w:hyperlink r:id="rId2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методике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составления сметы составление сметы контракта осуществляется на основании проекта сметы контракта, составляемого в соответствии с </w:t>
      </w:r>
      <w:hyperlink r:id="rId3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разделом VI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27 декабря 2019 г. N 841/пр.</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Порядком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изменения цены установлено, что изменение цены контракта осуществляется заказчиком в случаях, если при исполнении контракта:</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цена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Изменение цены контракта осуществляется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реконструкции и (или) капитального ремонта объекта капитального строительства. Изменение цены контракта оформляется дополнительным соглашением к контракту.</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С 1 сентября 2020 г. </w:t>
      </w:r>
      <w:hyperlink r:id="rId3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статья 112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N 44-ФЗ дополняется </w:t>
      </w:r>
      <w:hyperlink r:id="rId3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68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которой установлено, что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w:t>
      </w:r>
      <w:hyperlink r:id="rId3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8 части 1 статьи 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N 44-ФЗ проектной документации такой конкурс проводится с учетом ряда особенностей, в том числе:</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извещении о проведении открытого конкурса в электронной форме, конкурсной документации часть информации (касательно даты и времени рассмотрения и оценки заявок, получения окончательных предложений) не указывается.</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качественные, функциональные и экологические характеристики объекта закупки не устанавливаются;</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протокол по результатам рассмотрения и оценки первых частей заявок на участие в открытом конкурсе в электронной форме не оформляется;</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особый порядок действий оператора электронной площадки после направления заказчику поданных на участие в таком конкурсе заявок на участие в открытом конкурсе в электронной форме, предложений участников такого конкурса о цене контракта, а также документов и иной информации.</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направляется в рамках исполнения Протокола.</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Д.А.ВОЛКОВ</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35" w:type="default"/>
      <w:footerReference r:id="rId36"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smallCaps w:val="0"/>
        <w:sz w:val="10"/>
        <w:szCs w:val="10"/>
      </w:rPr>
    </w:pPr>
    <w:r w:rsidDel="00000000" w:rsidR="00000000" w:rsidRPr="00000000">
      <w:rPr>
        <w:smallCaps w:val="0"/>
        <w:sz w:val="10"/>
        <w:szCs w:val="10"/>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sz w:val="10"/>
        <w:szCs w:val="10"/>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1020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8"/>
      <w:gridCol w:w="3469.9999999999995"/>
      <w:gridCol w:w="3369"/>
      <w:tblGridChange w:id="0">
        <w:tblGrid>
          <w:gridCol w:w="3368"/>
          <w:gridCol w:w="3469.9999999999995"/>
          <w:gridCol w:w="3369"/>
        </w:tblGrid>
      </w:tblGridChange>
    </w:tblGrid>
    <w:tr>
      <w:tc>
        <w:tcPr>
          <w:shd w:fill="auto" w:val="clear"/>
          <w:tcMar>
            <w:top w:w="0.0" w:type="dxa"/>
            <w:left w:w="40.0" w:type="dxa"/>
            <w:bottom w:w="0.0" w:type="dxa"/>
            <w:right w:w="40.0" w:type="dxa"/>
          </w:tcM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b w:val="1"/>
              <w:smallCaps w:val="0"/>
              <w:sz w:val="16"/>
              <w:szCs w:val="16"/>
            </w:rPr>
          </w:pPr>
          <w:r w:rsidDel="00000000" w:rsidR="00000000" w:rsidRPr="00000000">
            <w:rPr>
              <w:b w:val="1"/>
              <w:smallCaps w:val="0"/>
              <w:color w:val="f58220"/>
              <w:sz w:val="28"/>
              <w:szCs w:val="28"/>
              <w:rtl w:val="0"/>
            </w:rPr>
            <w:t xml:space="preserve">КонсультантПлюс</w:t>
          </w:r>
          <w:r w:rsidDel="00000000" w:rsidR="00000000" w:rsidRPr="00000000">
            <w:rPr>
              <w:b w:val="1"/>
              <w:smallCaps w:val="0"/>
              <w:sz w:val="16"/>
              <w:szCs w:val="16"/>
              <w:rtl w:val="0"/>
            </w:rPr>
            <w:br w:type="textWrapping"/>
            <w:t xml:space="preserve">надежная правовая поддержка</w:t>
          </w:r>
        </w:p>
      </w:tc>
      <w:tc>
        <w:tcPr>
          <w:shd w:fill="auto" w:val="clear"/>
          <w:tcMar>
            <w:top w:w="0.0" w:type="dxa"/>
            <w:left w:w="40.0" w:type="dxa"/>
            <w:bottom w:w="0.0" w:type="dxa"/>
            <w:right w:w="40.0" w:type="dxa"/>
          </w:tcM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b w:val="1"/>
              <w:smallCaps w:val="0"/>
              <w:color w:val="0000ff"/>
              <w:sz w:val="20"/>
              <w:szCs w:val="20"/>
            </w:rPr>
          </w:pPr>
          <w:hyperlink r:id="rId1">
            <w:r w:rsidDel="00000000" w:rsidR="00000000" w:rsidRPr="00000000">
              <w:rPr>
                <w:b w:val="1"/>
                <w:smallCaps w:val="0"/>
                <w:color w:val="0000ff"/>
                <w:sz w:val="20"/>
                <w:szCs w:val="20"/>
                <w:rtl w:val="0"/>
              </w:rPr>
              <w:t xml:space="preserve">www.consultant.ru</w:t>
            </w:r>
          </w:hyperlink>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right"/>
            <w:rPr>
              <w:smallCaps w:val="0"/>
              <w:sz w:val="20"/>
              <w:szCs w:val="20"/>
            </w:rPr>
          </w:pPr>
          <w:r w:rsidDel="00000000" w:rsidR="00000000" w:rsidRPr="00000000">
            <w:rPr>
              <w:smallCaps w:val="0"/>
              <w:sz w:val="20"/>
              <w:szCs w:val="20"/>
              <w:rtl w:val="0"/>
            </w:rPr>
            <w:t xml:space="preserve">Страница </w:t>
          </w:r>
          <w:r w:rsidDel="00000000" w:rsidR="00000000" w:rsidRPr="00000000">
            <w:rPr>
              <w:smallCaps w:val="0"/>
              <w:sz w:val="20"/>
              <w:szCs w:val="20"/>
            </w:rPr>
            <w:fldChar w:fldCharType="begin"/>
            <w:instrText xml:space="preserve">PAGE</w:instrText>
            <w:fldChar w:fldCharType="separate"/>
            <w:fldChar w:fldCharType="end"/>
          </w:r>
          <w:r w:rsidDel="00000000" w:rsidR="00000000" w:rsidRPr="00000000">
            <w:rPr>
              <w:smallCaps w:val="0"/>
              <w:sz w:val="20"/>
              <w:szCs w:val="20"/>
              <w:rtl w:val="0"/>
            </w:rPr>
            <w:t xml:space="preserve"> из </w:t>
          </w:r>
          <w:r w:rsidDel="00000000" w:rsidR="00000000" w:rsidRPr="00000000">
            <w:rPr>
              <w:smallCaps w:val="0"/>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3"/>
      <w:gridCol w:w="511.0000000000002"/>
      <w:gridCol w:w="4083.000000000001"/>
      <w:tblGridChange w:id="0">
        <w:tblGrid>
          <w:gridCol w:w="5613"/>
          <w:gridCol w:w="511.0000000000002"/>
          <w:gridCol w:w="4083.000000000001"/>
        </w:tblGrid>
      </w:tblGridChange>
    </w:tblGrid>
    <w:tr>
      <w:tc>
        <w:tcPr>
          <w:shd w:fill="auto" w:val="clear"/>
          <w:tcMar>
            <w:top w:w="0.0" w:type="dxa"/>
            <w:left w:w="40.0" w:type="dxa"/>
            <w:bottom w:w="0.0" w:type="dxa"/>
            <w:right w:w="40.0" w:type="dxa"/>
          </w:tcM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mallCaps w:val="0"/>
              <w:sz w:val="16"/>
              <w:szCs w:val="16"/>
            </w:rPr>
          </w:pPr>
          <w:r w:rsidDel="00000000" w:rsidR="00000000" w:rsidRPr="00000000">
            <w:rPr>
              <w:smallCaps w:val="0"/>
              <w:sz w:val="16"/>
              <w:szCs w:val="16"/>
              <w:rtl w:val="0"/>
            </w:rPr>
            <w:t xml:space="preserve">&lt;Письмо&gt; Минстроя России от 18.08.2020 N 32497-ДВ/08</w:t>
            <w:br w:type="textWrapping"/>
            <w:t xml:space="preserve">&lt;О разъяснении вопросов, связанных с актуальными изменениями законо...</w:t>
          </w:r>
        </w:p>
      </w:tc>
      <w:tc>
        <w:tcPr>
          <w:shd w:fill="auto" w:val="clear"/>
          <w:tcMar>
            <w:top w:w="0.0" w:type="dxa"/>
            <w:left w:w="40.0" w:type="dxa"/>
            <w:bottom w:w="0.0" w:type="dxa"/>
            <w:right w:w="40.0" w:type="dxa"/>
          </w:tcM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right"/>
            <w:rPr>
              <w:smallCaps w:val="0"/>
              <w:sz w:val="16"/>
              <w:szCs w:val="16"/>
            </w:rPr>
          </w:pPr>
          <w:r w:rsidDel="00000000" w:rsidR="00000000" w:rsidRPr="00000000">
            <w:rPr>
              <w:smallCaps w:val="0"/>
              <w:sz w:val="18"/>
              <w:szCs w:val="18"/>
              <w:rtl w:val="0"/>
            </w:rPr>
            <w:t xml:space="preserve">Документ предоставлен </w:t>
          </w:r>
          <w:hyperlink r:id="rId1">
            <w:r w:rsidDel="00000000" w:rsidR="00000000" w:rsidRPr="00000000">
              <w:rPr>
                <w:smallCaps w:val="0"/>
                <w:color w:val="0000ff"/>
                <w:sz w:val="18"/>
                <w:szCs w:val="18"/>
                <w:rtl w:val="0"/>
              </w:rPr>
              <w:t xml:space="preserve">КонсультантПлюс</w:t>
            </w:r>
          </w:hyperlink>
          <w:r w:rsidDel="00000000" w:rsidR="00000000" w:rsidRPr="00000000">
            <w:rPr>
              <w:smallCaps w:val="0"/>
              <w:sz w:val="18"/>
              <w:szCs w:val="18"/>
              <w:rtl w:val="0"/>
            </w:rPr>
            <w:br w:type="textWrapping"/>
          </w:r>
          <w:r w:rsidDel="00000000" w:rsidR="00000000" w:rsidRPr="00000000">
            <w:rPr>
              <w:smallCaps w:val="0"/>
              <w:sz w:val="16"/>
              <w:szCs w:val="16"/>
              <w:rtl w:val="0"/>
            </w:rPr>
            <w:t xml:space="preserve">Дата сохранения: 03.11.2020</w:t>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sz w:val="16"/>
        <w:szCs w:val="1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login.consultant.ru/link/?req=doc&amp;base=RZR&amp;n=351490&amp;date=03.11.2020&amp;dst=1466&amp;fld=134" TargetMode="External"/><Relationship Id="rId22" Type="http://schemas.openxmlformats.org/officeDocument/2006/relationships/hyperlink" Target="http://login.consultant.ru/link/?req=doc&amp;base=RZR&amp;n=351490&amp;date=03.11.2020&amp;dst=1474&amp;fld=134" TargetMode="External"/><Relationship Id="rId21" Type="http://schemas.openxmlformats.org/officeDocument/2006/relationships/hyperlink" Target="http://login.consultant.ru/link/?req=doc&amp;base=RZR&amp;n=351490&amp;date=03.11.2020&amp;dst=158&amp;fld=134" TargetMode="External"/><Relationship Id="rId24" Type="http://schemas.openxmlformats.org/officeDocument/2006/relationships/hyperlink" Target="http://login.consultant.ru/link/?req=doc&amp;base=RZR&amp;n=351490&amp;date=03.11.2020&amp;dst=1491&amp;fld=134" TargetMode="External"/><Relationship Id="rId23" Type="http://schemas.openxmlformats.org/officeDocument/2006/relationships/hyperlink" Target="http://login.consultant.ru/link/?req=doc&amp;base=RZR&amp;n=351490&amp;date=03.11.2020&amp;dst=1474&amp;fld=1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ogin.consultant.ru/link/?req=doc&amp;base=RZR&amp;n=360043&amp;date=03.11.2020&amp;dst=101&amp;fld=134" TargetMode="External"/><Relationship Id="rId26" Type="http://schemas.openxmlformats.org/officeDocument/2006/relationships/hyperlink" Target="http://login.consultant.ru/link/?req=doc&amp;base=RZR&amp;n=350766&amp;date=03.11.2020&amp;dst=100012&amp;fld=134" TargetMode="External"/><Relationship Id="rId25" Type="http://schemas.openxmlformats.org/officeDocument/2006/relationships/hyperlink" Target="http://login.consultant.ru/link/?req=doc&amp;base=RZR&amp;n=350766&amp;date=03.11.2020" TargetMode="External"/><Relationship Id="rId28" Type="http://schemas.openxmlformats.org/officeDocument/2006/relationships/hyperlink" Target="http://login.consultant.ru/link/?req=doc&amp;base=RZR&amp;n=350766&amp;date=03.11.2020&amp;dst=100040&amp;fld=134" TargetMode="External"/><Relationship Id="rId27" Type="http://schemas.openxmlformats.org/officeDocument/2006/relationships/hyperlink" Target="http://login.consultant.ru/link/?req=doc&amp;base=RZR&amp;n=350766&amp;date=03.11.2020&amp;dst=100035&amp;fld=134" TargetMode="External"/><Relationship Id="rId5" Type="http://schemas.openxmlformats.org/officeDocument/2006/relationships/styles" Target="styles.xml"/><Relationship Id="rId6" Type="http://schemas.openxmlformats.org/officeDocument/2006/relationships/hyperlink" Target="http://login.consultant.ru/link/?req=doc&amp;base=RZR&amp;n=355851&amp;date=03.11.2020" TargetMode="External"/><Relationship Id="rId29" Type="http://schemas.openxmlformats.org/officeDocument/2006/relationships/hyperlink" Target="http://login.consultant.ru/link/?req=doc&amp;base=RZR&amp;n=350766&amp;date=03.11.2020&amp;dst=100107&amp;fld=134" TargetMode="External"/><Relationship Id="rId7" Type="http://schemas.openxmlformats.org/officeDocument/2006/relationships/hyperlink" Target="http://login.consultant.ru/link/?req=doc&amp;base=RZR&amp;n=355878&amp;date=03.11.2020&amp;dst=1&amp;fld=134" TargetMode="External"/><Relationship Id="rId8" Type="http://schemas.openxmlformats.org/officeDocument/2006/relationships/hyperlink" Target="http://login.consultant.ru/link/?req=doc&amp;base=RZR&amp;n=360043&amp;date=03.11.2020&amp;dst=100014&amp;fld=134" TargetMode="External"/><Relationship Id="rId31" Type="http://schemas.openxmlformats.org/officeDocument/2006/relationships/hyperlink" Target="http://login.consultant.ru/link/?req=doc&amp;base=RZR&amp;n=350766&amp;date=03.11.2020&amp;dst=100113&amp;fld=134" TargetMode="External"/><Relationship Id="rId30" Type="http://schemas.openxmlformats.org/officeDocument/2006/relationships/hyperlink" Target="http://login.consultant.ru/link/?req=doc&amp;base=RZR&amp;n=344610&amp;date=03.11.2020&amp;dst=100119&amp;fld=134" TargetMode="External"/><Relationship Id="rId11" Type="http://schemas.openxmlformats.org/officeDocument/2006/relationships/hyperlink" Target="http://login.consultant.ru/link/?req=doc&amp;base=RZR&amp;n=360043&amp;date=03.11.2020&amp;dst=109&amp;fld=134" TargetMode="External"/><Relationship Id="rId33" Type="http://schemas.openxmlformats.org/officeDocument/2006/relationships/hyperlink" Target="http://login.consultant.ru/link/?req=doc&amp;base=RZR&amp;n=351490&amp;date=03.11.2020&amp;dst=1864&amp;fld=134" TargetMode="External"/><Relationship Id="rId10" Type="http://schemas.openxmlformats.org/officeDocument/2006/relationships/hyperlink" Target="http://login.consultant.ru/link/?req=doc&amp;base=RZR&amp;n=360043&amp;date=03.11.2020&amp;dst=105&amp;fld=134" TargetMode="External"/><Relationship Id="rId32" Type="http://schemas.openxmlformats.org/officeDocument/2006/relationships/hyperlink" Target="http://login.consultant.ru/link/?req=doc&amp;base=RZR&amp;n=351490&amp;date=03.11.2020&amp;dst=101610&amp;fld=134" TargetMode="External"/><Relationship Id="rId13" Type="http://schemas.openxmlformats.org/officeDocument/2006/relationships/hyperlink" Target="http://login.consultant.ru/link/?req=doc&amp;base=RZR&amp;n=360043&amp;date=03.11.2020&amp;dst=29&amp;fld=134" TargetMode="External"/><Relationship Id="rId35" Type="http://schemas.openxmlformats.org/officeDocument/2006/relationships/header" Target="header1.xml"/><Relationship Id="rId12" Type="http://schemas.openxmlformats.org/officeDocument/2006/relationships/hyperlink" Target="http://login.consultant.ru/link/?req=doc&amp;base=RZR&amp;n=360043&amp;date=03.11.2020&amp;dst=113&amp;fld=134" TargetMode="External"/><Relationship Id="rId34" Type="http://schemas.openxmlformats.org/officeDocument/2006/relationships/hyperlink" Target="http://login.consultant.ru/link/?req=doc&amp;base=RZR&amp;n=351490&amp;date=03.11.2020&amp;dst=1205&amp;fld=134" TargetMode="External"/><Relationship Id="rId15" Type="http://schemas.openxmlformats.org/officeDocument/2006/relationships/hyperlink" Target="http://login.consultant.ru/link/?req=doc&amp;base=RZR&amp;n=355851&amp;date=03.11.2020&amp;dst=100011&amp;fld=134" TargetMode="External"/><Relationship Id="rId14" Type="http://schemas.openxmlformats.org/officeDocument/2006/relationships/hyperlink" Target="http://login.consultant.ru/link/?req=doc&amp;base=RZR&amp;n=360043&amp;date=03.11.2020&amp;dst=37&amp;fld=134" TargetMode="External"/><Relationship Id="rId36" Type="http://schemas.openxmlformats.org/officeDocument/2006/relationships/footer" Target="footer1.xml"/><Relationship Id="rId17" Type="http://schemas.openxmlformats.org/officeDocument/2006/relationships/hyperlink" Target="http://login.consultant.ru/link/?req=doc&amp;base=RZR&amp;n=351490&amp;date=03.11.2020&amp;dst=1466&amp;fld=134" TargetMode="External"/><Relationship Id="rId16" Type="http://schemas.openxmlformats.org/officeDocument/2006/relationships/hyperlink" Target="http://login.consultant.ru/link/?req=doc&amp;base=RZR&amp;n=355881&amp;date=03.11.2020&amp;dst=100013&amp;fld=134" TargetMode="External"/><Relationship Id="rId19" Type="http://schemas.openxmlformats.org/officeDocument/2006/relationships/hyperlink" Target="http://login.consultant.ru/link/?req=doc&amp;base=RZR&amp;n=351490&amp;date=03.11.2020&amp;dst=1474&amp;fld=134" TargetMode="External"/><Relationship Id="rId18" Type="http://schemas.openxmlformats.org/officeDocument/2006/relationships/hyperlink" Target="http://login.consultant.ru/link/?req=doc&amp;base=RZR&amp;n=351490&amp;date=03.11.2020&amp;dst=158&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