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C9" w:rsidRPr="00833CC9" w:rsidRDefault="00833CC9" w:rsidP="00833CC9">
      <w:pPr>
        <w:spacing w:before="150" w:after="0" w:line="360" w:lineRule="atLeast"/>
        <w:outlineLvl w:val="1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833CC9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Письмо № Д23и-5935 от 19.12.2013 о подготовке технического плана сооружения</w:t>
      </w:r>
    </w:p>
    <w:p w:rsidR="00833CC9" w:rsidRPr="00833CC9" w:rsidRDefault="00833CC9" w:rsidP="00833CC9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://www.economy.gov.ru/wps/wcm/connect/economylib4/mer/activity/sections/landrelations/registration/goskadastr/201403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www.economy.gov.ru/wps/wcm/connect/economylib4/mer/activity/sections/landrelations/registration/goskadastr/20140311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vanish/>
          <w:sz w:val="21"/>
          <w:szCs w:val="21"/>
          <w:lang w:eastAsia="ru-RU"/>
        </w:rPr>
        <w:pict/>
      </w:r>
      <w:r w:rsidRPr="00833CC9">
        <w:rPr>
          <w:rFonts w:ascii="Arial" w:eastAsia="Times New Roman" w:hAnsi="Arial" w:cs="Arial"/>
          <w:sz w:val="21"/>
          <w:szCs w:val="21"/>
          <w:lang w:eastAsia="ru-RU"/>
        </w:rPr>
        <w:t>Департамент недвижимости Минэкономразвития России (далее – Департамент недвижимости), рассмотрев обращение, сообщает.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>В соответствии с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№ 437, Минэкономразвития России не наделено полномочиями по разъяснению законодательства Российской Федерации, а также практики его применения.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>Вместе с тем по изложенному в обращении вопросу полагаем возможным отметить следующее.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1. </w:t>
      </w:r>
      <w:proofErr w:type="gramStart"/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По информации, представленной </w:t>
      </w:r>
      <w:proofErr w:type="spellStart"/>
      <w:r w:rsidRPr="00833CC9">
        <w:rPr>
          <w:rFonts w:ascii="Arial" w:eastAsia="Times New Roman" w:hAnsi="Arial" w:cs="Arial"/>
          <w:sz w:val="21"/>
          <w:szCs w:val="21"/>
          <w:lang w:eastAsia="ru-RU"/>
        </w:rPr>
        <w:t>Росреестром</w:t>
      </w:r>
      <w:proofErr w:type="spellEnd"/>
      <w:r w:rsidRPr="00833CC9">
        <w:rPr>
          <w:rFonts w:ascii="Arial" w:eastAsia="Times New Roman" w:hAnsi="Arial" w:cs="Arial"/>
          <w:sz w:val="21"/>
          <w:szCs w:val="21"/>
          <w:lang w:eastAsia="ru-RU"/>
        </w:rPr>
        <w:t>, по результатам рассмотрения заявления о постановке на государственный кадастровый учет объекта недвижимости и представленного с ним технического плана сооружения органом кадастрового учета принято решение об отказе в учете изменений объекта недвижимости (далее – Решение об отказе) на основании пункта 2 части 2 статьи 27 Федерального закона от 24 июля 2007 г. № 221-ФЗ «О государственном кадастре недвижимости» (далее</w:t>
      </w:r>
      <w:proofErr w:type="gramEnd"/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proofErr w:type="gramStart"/>
      <w:r w:rsidRPr="00833CC9">
        <w:rPr>
          <w:rFonts w:ascii="Arial" w:eastAsia="Times New Roman" w:hAnsi="Arial" w:cs="Arial"/>
          <w:sz w:val="21"/>
          <w:szCs w:val="21"/>
          <w:lang w:eastAsia="ru-RU"/>
        </w:rPr>
        <w:t>Закон о кадастре) в связи с тем, что отсутствует документ, на основании которого в технический план внесены сведения об объекте недвижимости.</w:t>
      </w:r>
      <w:proofErr w:type="gramEnd"/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2. В соответствии с частью 8 статьи 41 Закона о кадастре сведения об объекте недвижимости указываются в техническом плане на основании представленных заказчиком кадастровых работ разрешения на ввод такого объекта недвижимости в эксплуатацию, проектной документации такого объекта недвижимости или технического паспорта на такой объект недвижимости. Копии указанных документов включаются в состав приложения к техническому плану сооружения (пункт 11 Требований к подготовке технического плана сооружения, утвержденных приказом Минэкономразвития России от 23 ноября 2011 г. № 693). </w:t>
      </w:r>
      <w:proofErr w:type="gramStart"/>
      <w:r w:rsidRPr="00833CC9">
        <w:rPr>
          <w:rFonts w:ascii="Arial" w:eastAsia="Times New Roman" w:hAnsi="Arial" w:cs="Arial"/>
          <w:sz w:val="21"/>
          <w:szCs w:val="21"/>
          <w:lang w:eastAsia="ru-RU"/>
        </w:rPr>
        <w:t>При отсутствии указанных документов такие сведения, за исключением сведений о местоположении здания, сооружения или объекта незавершенного строительства на земельном участке и о местоположении помещения в пределах этажа здания или сооружения, либо в пределах здания или сооружения, либо в пределах соответствующей части здания или сооружения, указываются в техническом плане на основании декларации, составленной и заверенной правообладателем объекта недвижимости, данная декларация прилагается</w:t>
      </w:r>
      <w:proofErr w:type="gramEnd"/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 к техническому плану и является его неотъемлемой частью.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>Однако необходимо учитывать положения Градостроительного кодекса Российской Федерации, которыми установлен перечень объектов, на которые в случае осуществления строительства, реконструкции выдается разрешение на строительство и в последующем – разрешение на ввод объекта в эксплуатацию.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>Таким образом, учитывая часть 8 статьи 41 Закона о кадастре, по мнению Департамента недвижимости, в случае, если выдача разрешения на ввод объекта в эксплуатацию предусмотрена действующим законодательством, то использование такого разрешения при подготовке технического плана является обязательным.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3. </w:t>
      </w:r>
      <w:proofErr w:type="gramStart"/>
      <w:r w:rsidRPr="00833CC9">
        <w:rPr>
          <w:rFonts w:ascii="Arial" w:eastAsia="Times New Roman" w:hAnsi="Arial" w:cs="Arial"/>
          <w:sz w:val="21"/>
          <w:szCs w:val="21"/>
          <w:lang w:eastAsia="ru-RU"/>
        </w:rPr>
        <w:t>Согласно части 1 статьи 55 Градостроительного кодекса Российской Федерации 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</w:t>
      </w:r>
      <w:proofErr w:type="gramEnd"/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 также проектной документации.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Следует отметить, что разрешения на ввод объекта в эксплуатацию, выданные физическим и юридическим лицам до введения в действие Градостроительного кодекса российской Федерации (30 декабря 2004 г.), признаются действительными (часть 3 статьи 8 Федерального закона от 29 декабря 2004 г. № 191-ФЗ).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До даты введения в действие Градостроительного кодекса Российской Федерации объекты газораспределительной системы вводились в эксплуатацию (согласно пункту 8 постановления Совмина СССР от 23 января 1981 г. № 105 «О приемке в эксплуатацию законченных строительством объектов») актом приемки законченного строительством объекта газораспределительной системы, оформленным в </w:t>
      </w:r>
      <w:proofErr w:type="gramStart"/>
      <w:r w:rsidRPr="00833CC9">
        <w:rPr>
          <w:rFonts w:ascii="Arial" w:eastAsia="Times New Roman" w:hAnsi="Arial" w:cs="Arial"/>
          <w:sz w:val="21"/>
          <w:szCs w:val="21"/>
          <w:lang w:eastAsia="ru-RU"/>
        </w:rPr>
        <w:t>соответствии</w:t>
      </w:r>
      <w:proofErr w:type="gramEnd"/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 в том числе со СНиП «42-01-2002. Газораспределительные системы», принятым и введенным в действие постановлением Госстроя России от 23 декабря 2002 г. № 163 (далее – СНиП 42-01-2002), до 23 декабря 2002 г. с СНиП «3.05.02-88*. Газоснабжение», утвержденным постановлением Госстроя СССР от 17 марта 1988 г. № 39.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Согласно пункту 10.6.4. СНиП 42-01-2002 приемка заказчиком законченного строительством объекта газораспределительной системы должна </w:t>
      </w:r>
      <w:proofErr w:type="gramStart"/>
      <w:r w:rsidRPr="00833CC9">
        <w:rPr>
          <w:rFonts w:ascii="Arial" w:eastAsia="Times New Roman" w:hAnsi="Arial" w:cs="Arial"/>
          <w:sz w:val="21"/>
          <w:szCs w:val="21"/>
          <w:lang w:eastAsia="ru-RU"/>
        </w:rPr>
        <w:t>быть оформлена актом по форме обязательного Приложения Б. Данный акт подтверждает</w:t>
      </w:r>
      <w:proofErr w:type="gramEnd"/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 факт создания объекта и его соответствие проекту и обязательным требованиям нормативных документов. Он является окончательным для отдельно возводимого объекта газораспределительной системы. Для газораспределительной системы, входящей в состав здания или сооружения, он включается в состав приемосдаточной документации по этому зданию (сооружению).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>Акт приемки законченного строительством объекта газораспределительной системы подписывают представители генерального подрядчика, проектной организации, эксплуатационной организации и Госгортехнадзора России.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33CC9">
        <w:rPr>
          <w:rFonts w:ascii="Arial" w:eastAsia="Times New Roman" w:hAnsi="Arial" w:cs="Arial"/>
          <w:sz w:val="21"/>
          <w:szCs w:val="21"/>
          <w:lang w:eastAsia="ru-RU"/>
        </w:rPr>
        <w:t>С учетом изложенного, в указанном в обращении случае, по мнению Департамента недвижимости, в технический план сооружения (объекта газораспределительной системы, законченного строительством и введенного в эксплуатацию до 30 декабря 2004 г.) сведения об объекте недвижимости, в том числе о его протяженности, могут быть указаны на основании акта приемки законченного строительством объекта газораспределительной системы (вместо разрешения на ввод такого объекта недвижимости в</w:t>
      </w:r>
      <w:proofErr w:type="gramEnd"/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 эксплуатацию), </w:t>
      </w:r>
      <w:proofErr w:type="gramStart"/>
      <w:r w:rsidRPr="00833CC9">
        <w:rPr>
          <w:rFonts w:ascii="Arial" w:eastAsia="Times New Roman" w:hAnsi="Arial" w:cs="Arial"/>
          <w:sz w:val="21"/>
          <w:szCs w:val="21"/>
          <w:lang w:eastAsia="ru-RU"/>
        </w:rPr>
        <w:t>оформленного</w:t>
      </w:r>
      <w:proofErr w:type="gramEnd"/>
      <w:r w:rsidRPr="00833CC9">
        <w:rPr>
          <w:rFonts w:ascii="Arial" w:eastAsia="Times New Roman" w:hAnsi="Arial" w:cs="Arial"/>
          <w:sz w:val="21"/>
          <w:szCs w:val="21"/>
          <w:lang w:eastAsia="ru-RU"/>
        </w:rPr>
        <w:t xml:space="preserve"> в соответствии требованиями, действовавшими на момент приемки.</w:t>
      </w:r>
    </w:p>
    <w:p w:rsidR="00833CC9" w:rsidRPr="00833CC9" w:rsidRDefault="00833CC9" w:rsidP="00833C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33CC9">
        <w:rPr>
          <w:rFonts w:ascii="Arial" w:eastAsia="Times New Roman" w:hAnsi="Arial" w:cs="Arial"/>
          <w:sz w:val="21"/>
          <w:szCs w:val="21"/>
          <w:lang w:eastAsia="ru-RU"/>
        </w:rPr>
        <w:t>При этом копия указанного акта приемки законченного строительством объекта газораспределительной системы включается в состав приложения к техническому плану сооружения.</w:t>
      </w:r>
    </w:p>
    <w:p w:rsidR="00785E76" w:rsidRDefault="00785E76"/>
    <w:sectPr w:rsidR="0078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C9"/>
    <w:rsid w:val="00785E76"/>
    <w:rsid w:val="008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CC9"/>
    <w:pPr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CC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3CC9"/>
    <w:rPr>
      <w:color w:val="003182"/>
      <w:u w:val="single"/>
    </w:rPr>
  </w:style>
  <w:style w:type="paragraph" w:styleId="a4">
    <w:name w:val="Normal (Web)"/>
    <w:basedOn w:val="a"/>
    <w:uiPriority w:val="99"/>
    <w:semiHidden/>
    <w:unhideWhenUsed/>
    <w:rsid w:val="0083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2">
    <w:name w:val="type2"/>
    <w:basedOn w:val="a0"/>
    <w:rsid w:val="00833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CC9"/>
    <w:pPr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CC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3CC9"/>
    <w:rPr>
      <w:color w:val="003182"/>
      <w:u w:val="single"/>
    </w:rPr>
  </w:style>
  <w:style w:type="paragraph" w:styleId="a4">
    <w:name w:val="Normal (Web)"/>
    <w:basedOn w:val="a"/>
    <w:uiPriority w:val="99"/>
    <w:semiHidden/>
    <w:unhideWhenUsed/>
    <w:rsid w:val="0083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2">
    <w:name w:val="type2"/>
    <w:basedOn w:val="a0"/>
    <w:rsid w:val="0083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</dc:creator>
  <cp:lastModifiedBy>Можаев</cp:lastModifiedBy>
  <cp:revision>1</cp:revision>
  <dcterms:created xsi:type="dcterms:W3CDTF">2014-03-12T06:10:00Z</dcterms:created>
  <dcterms:modified xsi:type="dcterms:W3CDTF">2014-03-12T06:11:00Z</dcterms:modified>
</cp:coreProperties>
</file>